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2A0" w:rsidRPr="00E872A0" w:rsidRDefault="00E872A0" w:rsidP="00E872A0">
      <w:pPr>
        <w:autoSpaceDE w:val="0"/>
        <w:autoSpaceDN w:val="0"/>
        <w:spacing w:line="440" w:lineRule="exact"/>
        <w:ind w:left="701" w:hangingChars="250" w:hanging="701"/>
        <w:jc w:val="center"/>
        <w:outlineLvl w:val="1"/>
        <w:rPr>
          <w:rFonts w:eastAsia="標楷體"/>
          <w:b/>
          <w:bCs/>
          <w:color w:val="FF0000"/>
          <w:szCs w:val="24"/>
        </w:rPr>
      </w:pPr>
      <w:r w:rsidRPr="00E872A0">
        <w:rPr>
          <w:rFonts w:eastAsia="標楷體"/>
          <w:b/>
          <w:bCs/>
          <w:color w:val="FF0000"/>
          <w:szCs w:val="24"/>
        </w:rPr>
        <w:t>工作安全檢查表</w:t>
      </w:r>
      <w:r w:rsidRPr="00E872A0">
        <w:rPr>
          <w:rFonts w:eastAsia="標楷體"/>
          <w:b/>
          <w:bCs/>
          <w:color w:val="FF0000"/>
          <w:szCs w:val="24"/>
        </w:rPr>
        <w:t>(</w:t>
      </w:r>
      <w:r w:rsidRPr="00E872A0">
        <w:rPr>
          <w:rFonts w:eastAsia="標楷體"/>
          <w:b/>
          <w:bCs/>
          <w:color w:val="FF0000"/>
          <w:szCs w:val="24"/>
        </w:rPr>
        <w:t>範例</w:t>
      </w:r>
      <w:r w:rsidRPr="00E872A0">
        <w:rPr>
          <w:rFonts w:eastAsia="標楷體"/>
          <w:b/>
          <w:bCs/>
          <w:color w:val="FF0000"/>
          <w:szCs w:val="24"/>
        </w:rPr>
        <w:t>)</w:t>
      </w:r>
    </w:p>
    <w:p w:rsidR="00E872A0" w:rsidRPr="00E872A0" w:rsidRDefault="00E872A0" w:rsidP="00E872A0">
      <w:pPr>
        <w:autoSpaceDE w:val="0"/>
        <w:autoSpaceDN w:val="0"/>
        <w:spacing w:line="440" w:lineRule="exact"/>
        <w:ind w:left="701" w:hangingChars="250" w:hanging="701"/>
        <w:jc w:val="center"/>
        <w:outlineLvl w:val="1"/>
        <w:rPr>
          <w:rFonts w:eastAsia="標楷體"/>
          <w:b/>
          <w:bCs/>
          <w:color w:val="FF0000"/>
          <w:szCs w:val="24"/>
        </w:rPr>
      </w:pPr>
      <w:proofErr w:type="spellStart"/>
      <w:r w:rsidRPr="00E872A0">
        <w:rPr>
          <w:rFonts w:eastAsia="標楷體"/>
          <w:b/>
          <w:bCs/>
          <w:color w:val="FF0000"/>
          <w:szCs w:val="24"/>
        </w:rPr>
        <w:t>Biểu</w:t>
      </w:r>
      <w:proofErr w:type="spellEnd"/>
      <w:r w:rsidRPr="00E872A0">
        <w:rPr>
          <w:rFonts w:eastAsia="標楷體"/>
          <w:b/>
          <w:bCs/>
          <w:color w:val="FF0000"/>
          <w:szCs w:val="24"/>
          <w:lang w:val="vi-VN"/>
        </w:rPr>
        <w:t xml:space="preserve"> kiểm tra an toàn công việc (ví dụ)</w:t>
      </w:r>
    </w:p>
    <w:tbl>
      <w:tblPr>
        <w:tblW w:w="15057" w:type="dxa"/>
        <w:tblInd w:w="-6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"/>
        <w:gridCol w:w="5807"/>
        <w:gridCol w:w="1275"/>
        <w:gridCol w:w="4484"/>
        <w:gridCol w:w="903"/>
        <w:gridCol w:w="1559"/>
      </w:tblGrid>
      <w:tr w:rsidR="00E872A0" w:rsidRPr="00EA2AB9" w:rsidTr="00437B58">
        <w:trPr>
          <w:trHeight w:val="545"/>
        </w:trPr>
        <w:tc>
          <w:tcPr>
            <w:tcW w:w="15057" w:type="dxa"/>
            <w:gridSpan w:val="6"/>
            <w:shd w:val="clear" w:color="auto" w:fill="auto"/>
          </w:tcPr>
          <w:p w:rsidR="00E872A0" w:rsidRPr="00EA2AB9" w:rsidRDefault="00E872A0" w:rsidP="00437B58">
            <w:pPr>
              <w:tabs>
                <w:tab w:val="left" w:pos="5719"/>
                <w:tab w:val="left" w:pos="10841"/>
              </w:tabs>
              <w:autoSpaceDE w:val="0"/>
              <w:autoSpaceDN w:val="0"/>
              <w:spacing w:line="280" w:lineRule="exact"/>
              <w:ind w:left="601" w:hangingChars="250" w:hanging="601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Tên nhà thầu: 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ab/>
              <w:t>Tên tác nghiệp: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ab/>
              <w:t>Ngày tháng:</w:t>
            </w:r>
          </w:p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ind w:left="601" w:hangingChars="250" w:hanging="601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承攬公司：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○○○○                     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作業名稱：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○○○○○○○○        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日期：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○○○○○○○○</w:t>
            </w:r>
          </w:p>
        </w:tc>
      </w:tr>
      <w:tr w:rsidR="00E872A0" w:rsidRPr="00EA2AB9" w:rsidTr="00437B58">
        <w:trPr>
          <w:trHeight w:val="416"/>
        </w:trPr>
        <w:tc>
          <w:tcPr>
            <w:tcW w:w="6836" w:type="dxa"/>
            <w:gridSpan w:val="2"/>
            <w:vMerge w:val="restart"/>
            <w:shd w:val="clear" w:color="auto" w:fill="auto"/>
            <w:vAlign w:val="center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ind w:left="601" w:hangingChars="250" w:hanging="601"/>
              <w:jc w:val="center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</w:pP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Lưu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 trình tác nghiệp</w:t>
            </w:r>
          </w:p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ind w:left="601" w:hangingChars="250" w:hanging="601"/>
              <w:jc w:val="center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作業流程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ind w:left="1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</w:pP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Hình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 thái rủi ro</w:t>
            </w:r>
          </w:p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ind w:left="601" w:hangingChars="250" w:hanging="601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危害型態</w:t>
            </w:r>
          </w:p>
        </w:tc>
        <w:tc>
          <w:tcPr>
            <w:tcW w:w="4484" w:type="dxa"/>
            <w:vMerge w:val="restart"/>
            <w:shd w:val="clear" w:color="auto" w:fill="auto"/>
            <w:vAlign w:val="center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ind w:left="601" w:hangingChars="250" w:hanging="601"/>
              <w:jc w:val="center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</w:pP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Hạng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 mục kiểm tra</w:t>
            </w:r>
          </w:p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ind w:left="601" w:hangingChars="250" w:hanging="601"/>
              <w:jc w:val="center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檢查項目</w:t>
            </w:r>
          </w:p>
        </w:tc>
        <w:tc>
          <w:tcPr>
            <w:tcW w:w="2462" w:type="dxa"/>
            <w:gridSpan w:val="2"/>
            <w:shd w:val="clear" w:color="auto" w:fill="auto"/>
            <w:vAlign w:val="center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ind w:left="601" w:hangingChars="250" w:hanging="601"/>
              <w:jc w:val="center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</w:pP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Hoạt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 động xác nhận</w:t>
            </w:r>
          </w:p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ind w:left="601" w:hangingChars="250" w:hanging="601"/>
              <w:jc w:val="center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確認動作</w:t>
            </w:r>
          </w:p>
        </w:tc>
      </w:tr>
      <w:tr w:rsidR="00E872A0" w:rsidRPr="00EA2AB9" w:rsidTr="00437B58">
        <w:trPr>
          <w:trHeight w:val="176"/>
        </w:trPr>
        <w:tc>
          <w:tcPr>
            <w:tcW w:w="6836" w:type="dxa"/>
            <w:gridSpan w:val="2"/>
            <w:vMerge/>
            <w:shd w:val="clear" w:color="auto" w:fill="auto"/>
            <w:vAlign w:val="center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ind w:left="601" w:hangingChars="250" w:hanging="601"/>
              <w:jc w:val="center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ind w:left="601" w:hangingChars="250" w:hanging="601"/>
              <w:jc w:val="center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484" w:type="dxa"/>
            <w:vMerge/>
            <w:shd w:val="clear" w:color="auto" w:fill="auto"/>
            <w:vAlign w:val="center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ind w:left="601" w:hangingChars="250" w:hanging="601"/>
              <w:jc w:val="center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3" w:type="dxa"/>
            <w:shd w:val="clear" w:color="auto" w:fill="auto"/>
            <w:vAlign w:val="center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ind w:left="601" w:hangingChars="250" w:hanging="601"/>
              <w:jc w:val="center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Y/N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ind w:leftChars="-16" w:left="-19" w:hangingChars="11" w:hanging="26"/>
              <w:jc w:val="center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</w:pP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Ký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 xác nhận</w:t>
            </w:r>
          </w:p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ind w:left="601" w:hangingChars="250" w:hanging="601"/>
              <w:jc w:val="center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簽認</w:t>
            </w:r>
          </w:p>
        </w:tc>
      </w:tr>
      <w:tr w:rsidR="00E872A0" w:rsidRPr="00EA2AB9" w:rsidTr="00437B58">
        <w:trPr>
          <w:trHeight w:val="546"/>
        </w:trPr>
        <w:tc>
          <w:tcPr>
            <w:tcW w:w="1029" w:type="dxa"/>
            <w:vMerge w:val="restart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1.</w:t>
            </w:r>
          </w:p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proofErr w:type="spellStart"/>
            <w:r w:rsidRPr="00EA2AB9">
              <w:rPr>
                <w:color w:val="FF0000"/>
                <w:sz w:val="24"/>
                <w:szCs w:val="24"/>
              </w:rPr>
              <w:t>Tác</w:t>
            </w:r>
            <w:proofErr w:type="spellEnd"/>
            <w:r w:rsidRPr="00EA2AB9">
              <w:rPr>
                <w:color w:val="FF0000"/>
                <w:sz w:val="24"/>
                <w:szCs w:val="24"/>
                <w:lang w:val="vi-VN"/>
              </w:rPr>
              <w:t xml:space="preserve"> nghiệp</w:t>
            </w:r>
            <w:r w:rsidRPr="00EA2AB9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color w:val="FF0000"/>
                <w:sz w:val="24"/>
                <w:szCs w:val="24"/>
              </w:rPr>
              <w:t>lắp</w:t>
            </w:r>
            <w:proofErr w:type="spellEnd"/>
            <w:r w:rsidRPr="00EA2AB9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color w:val="FF0000"/>
                <w:sz w:val="24"/>
                <w:szCs w:val="24"/>
              </w:rPr>
              <w:t>đặt</w:t>
            </w:r>
            <w:proofErr w:type="spellEnd"/>
            <w:r w:rsidRPr="00EA2AB9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color w:val="FF0000"/>
                <w:sz w:val="24"/>
                <w:szCs w:val="24"/>
              </w:rPr>
              <w:t>giàn</w:t>
            </w:r>
            <w:proofErr w:type="spellEnd"/>
            <w:r w:rsidRPr="00EA2AB9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color w:val="FF0000"/>
                <w:sz w:val="24"/>
                <w:szCs w:val="24"/>
              </w:rPr>
              <w:t>giáo</w:t>
            </w:r>
            <w:proofErr w:type="spellEnd"/>
            <w:r w:rsidRPr="00EA2AB9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color w:val="FF0000"/>
                <w:sz w:val="24"/>
                <w:szCs w:val="24"/>
              </w:rPr>
              <w:t>theo</w:t>
            </w:r>
            <w:proofErr w:type="spellEnd"/>
            <w:r w:rsidRPr="00EA2AB9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color w:val="FF0000"/>
                <w:sz w:val="24"/>
                <w:szCs w:val="24"/>
              </w:rPr>
              <w:t>hệ</w:t>
            </w:r>
            <w:proofErr w:type="spellEnd"/>
            <w:r w:rsidRPr="00EA2AB9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color w:val="FF0000"/>
                <w:sz w:val="24"/>
                <w:szCs w:val="24"/>
              </w:rPr>
              <w:t>thống</w:t>
            </w:r>
            <w:proofErr w:type="spellEnd"/>
            <w:r w:rsidRPr="00EA2AB9">
              <w:rPr>
                <w:color w:val="FF0000"/>
                <w:sz w:val="24"/>
                <w:szCs w:val="24"/>
              </w:rPr>
              <w:t xml:space="preserve"> (</w:t>
            </w:r>
            <w:proofErr w:type="spellStart"/>
            <w:r w:rsidRPr="00EA2AB9">
              <w:rPr>
                <w:color w:val="FF0000"/>
                <w:sz w:val="24"/>
                <w:szCs w:val="24"/>
              </w:rPr>
              <w:t>truyền</w:t>
            </w:r>
            <w:proofErr w:type="spellEnd"/>
            <w:r w:rsidRPr="00EA2AB9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color w:val="FF0000"/>
                <w:sz w:val="24"/>
                <w:szCs w:val="24"/>
              </w:rPr>
              <w:t>tải</w:t>
            </w:r>
            <w:proofErr w:type="spellEnd"/>
            <w:r w:rsidRPr="00EA2AB9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color w:val="FF0000"/>
                <w:sz w:val="24"/>
                <w:szCs w:val="24"/>
              </w:rPr>
              <w:t>và</w:t>
            </w:r>
            <w:proofErr w:type="spellEnd"/>
            <w:r w:rsidRPr="00EA2AB9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color w:val="FF0000"/>
                <w:sz w:val="24"/>
                <w:szCs w:val="24"/>
              </w:rPr>
              <w:t>nâng</w:t>
            </w:r>
            <w:proofErr w:type="spellEnd"/>
            <w:r w:rsidRPr="00EA2AB9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color w:val="FF0000"/>
                <w:sz w:val="24"/>
                <w:szCs w:val="24"/>
              </w:rPr>
              <w:t>hạ</w:t>
            </w:r>
            <w:proofErr w:type="spellEnd"/>
            <w:r w:rsidRPr="00EA2AB9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color w:val="FF0000"/>
                <w:sz w:val="24"/>
                <w:szCs w:val="24"/>
              </w:rPr>
              <w:t>vật</w:t>
            </w:r>
            <w:proofErr w:type="spellEnd"/>
            <w:r w:rsidRPr="00EA2AB9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color w:val="FF0000"/>
                <w:sz w:val="24"/>
                <w:szCs w:val="24"/>
              </w:rPr>
              <w:t>liệu</w:t>
            </w:r>
            <w:proofErr w:type="spellEnd"/>
            <w:r w:rsidRPr="00EA2AB9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color w:val="FF0000"/>
                <w:sz w:val="24"/>
                <w:szCs w:val="24"/>
              </w:rPr>
              <w:t>giàn</w:t>
            </w:r>
            <w:proofErr w:type="spellEnd"/>
            <w:r w:rsidRPr="00EA2AB9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color w:val="FF0000"/>
                <w:sz w:val="24"/>
                <w:szCs w:val="24"/>
              </w:rPr>
              <w:t>giáo</w:t>
            </w:r>
            <w:proofErr w:type="spellEnd"/>
            <w:r w:rsidRPr="00EA2AB9">
              <w:rPr>
                <w:color w:val="FF0000"/>
                <w:sz w:val="24"/>
                <w:szCs w:val="24"/>
              </w:rPr>
              <w:t>)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系統式施工架搭架作業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(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架料傳遞及吊運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)</w:t>
            </w:r>
          </w:p>
        </w:tc>
        <w:tc>
          <w:tcPr>
            <w:tcW w:w="5807" w:type="dxa"/>
            <w:vMerge w:val="restart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A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>.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Chuyển</w:t>
            </w:r>
            <w:proofErr w:type="spellEnd"/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vật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liệu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 đến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địa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điểm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lắp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 ráp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giàn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giáo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từ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tầng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4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 trở xuống 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(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chuyển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vật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liệu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 giáo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)</w:t>
            </w:r>
          </w:p>
          <w:p w:rsidR="00E872A0" w:rsidRPr="00EA2AB9" w:rsidRDefault="00E872A0" w:rsidP="00437B58">
            <w:pPr>
              <w:spacing w:line="280" w:lineRule="exact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將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架料搬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至第四層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(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含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)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以下搭架地點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(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架料傳遞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)</w:t>
            </w:r>
          </w:p>
          <w:p w:rsidR="00E872A0" w:rsidRPr="00EA2AB9" w:rsidRDefault="00E872A0" w:rsidP="00437B58">
            <w:pPr>
              <w:spacing w:line="280" w:lineRule="exact"/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1.Lắp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 ráp tầng 1 giàn giáo: Nhân viên chuyển trực tiếp vật liệu đến địa điểm thi công lắp ráp giàn giáo. </w:t>
            </w:r>
          </w:p>
          <w:p w:rsidR="00E872A0" w:rsidRPr="00EA2AB9" w:rsidRDefault="00E872A0" w:rsidP="00437B58">
            <w:pPr>
              <w:spacing w:line="280" w:lineRule="exact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第一層搭架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: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人員直接將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架料搬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至施工地點組裝。</w:t>
            </w:r>
          </w:p>
          <w:p w:rsidR="00E872A0" w:rsidRPr="00EA2AB9" w:rsidRDefault="00E872A0" w:rsidP="00437B58">
            <w:pPr>
              <w:spacing w:line="280" w:lineRule="exact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2.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Lắp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 ráp tầng 2 giàn giáo: Nhân viên ở mặt đất chuyển vật liệu lên cho nhân viên ở tầng 2 tiến hành lắp ráp giàn giáo ở tầng 2.</w:t>
            </w:r>
          </w:p>
          <w:p w:rsidR="00E872A0" w:rsidRPr="00EA2AB9" w:rsidRDefault="00E872A0" w:rsidP="00437B58">
            <w:pPr>
              <w:spacing w:line="280" w:lineRule="exact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第二層搭架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: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地面上人員將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架料傳給第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二層人員進行第二層搭架。</w:t>
            </w:r>
          </w:p>
          <w:p w:rsidR="00E872A0" w:rsidRPr="00EA2AB9" w:rsidRDefault="00E872A0" w:rsidP="00437B58">
            <w:pPr>
              <w:spacing w:line="280" w:lineRule="exact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3.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Lắp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 ráp tầng 3 giàn giáo: Nhân viên ở mặt đất chuyển vật liệu lên cho nhân viên ở tầng 2, nhân viên ở tầng 2 lại chuyển cho nhân viên ở tầng 3 thực hiện việc lắp ráp giàn giáo ở tầng 3.</w:t>
            </w:r>
          </w:p>
          <w:p w:rsidR="00E872A0" w:rsidRPr="00EA2AB9" w:rsidRDefault="00E872A0" w:rsidP="00437B58">
            <w:pPr>
              <w:spacing w:line="280" w:lineRule="exact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第三層搭架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: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地面上人員將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架料傳給第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二層人員再接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駁給第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三層人員進行第三層搭架。</w:t>
            </w:r>
          </w:p>
          <w:p w:rsidR="00E872A0" w:rsidRPr="00EA2AB9" w:rsidRDefault="00E872A0" w:rsidP="00437B58">
            <w:pPr>
              <w:spacing w:line="280" w:lineRule="exact"/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4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>. Lắp ráp tầng 4 giàn giáo: Nhân viên ở mặt đất chuyển vật liệu theo thứ tự lên từng tầng, từ tầng 2 đến tầng 3, tầng 4, sau đó được nhân viên ở tầng 4 tiến hành việc lắp đặt giàn giáo ở tầng thứ 4.</w:t>
            </w:r>
          </w:p>
          <w:p w:rsidR="00E872A0" w:rsidRPr="00EA2AB9" w:rsidRDefault="00E872A0" w:rsidP="00437B58">
            <w:pPr>
              <w:spacing w:line="280" w:lineRule="exact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第四層搭架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: 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地面人員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將架料依序逐層傳給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第二、三、四層人員再由第四層人員進行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第四層搭架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。</w:t>
            </w:r>
          </w:p>
        </w:tc>
        <w:tc>
          <w:tcPr>
            <w:tcW w:w="1275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Rơi ngã /lăn từ trên cao xuống </w:t>
            </w:r>
          </w:p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墜落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/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滾落</w:t>
            </w:r>
          </w:p>
        </w:tc>
        <w:tc>
          <w:tcPr>
            <w:tcW w:w="4484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A1.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Khi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người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lắp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dựng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sử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dụng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thiết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bị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chống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rơi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kiểu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tời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phải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móc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vào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khóa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D ở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mặt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sau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của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đai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an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toàn</w:t>
            </w:r>
            <w:proofErr w:type="spellEnd"/>
            <w:r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 toàn thân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túi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 giảm chấn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và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thiết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bị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chống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rơi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kiểu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tời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không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được</w:t>
            </w:r>
            <w:proofErr w:type="spellEnd"/>
            <w:r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 móc trực tiếp với nhau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.</w:t>
            </w:r>
          </w:p>
          <w:p w:rsidR="00E872A0" w:rsidRPr="00EA2AB9" w:rsidRDefault="00E872A0" w:rsidP="00437B58">
            <w:pPr>
              <w:spacing w:line="280" w:lineRule="exact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搭架人員使用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捲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揚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式防墜器，需勾掛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於降落傘式安全帶背部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D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扣環上，緩衝包與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捲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揚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式防墜器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兩者不可串接使用。</w:t>
            </w:r>
          </w:p>
        </w:tc>
        <w:tc>
          <w:tcPr>
            <w:tcW w:w="903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872A0" w:rsidRPr="00EA2AB9" w:rsidTr="00437B58">
        <w:trPr>
          <w:trHeight w:val="417"/>
        </w:trPr>
        <w:tc>
          <w:tcPr>
            <w:tcW w:w="1029" w:type="dxa"/>
            <w:vMerge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807" w:type="dxa"/>
            <w:vMerge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V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>ấ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p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 ngã</w:t>
            </w:r>
          </w:p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跌倒</w:t>
            </w:r>
          </w:p>
        </w:tc>
        <w:tc>
          <w:tcPr>
            <w:tcW w:w="4484" w:type="dxa"/>
            <w:shd w:val="clear" w:color="auto" w:fill="auto"/>
          </w:tcPr>
          <w:p w:rsidR="00E872A0" w:rsidRPr="00EA2AB9" w:rsidRDefault="00E872A0" w:rsidP="00437B58">
            <w:p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line="280" w:lineRule="exact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A1. </w:t>
            </w:r>
            <w:r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Cần quy hoạch khu vực tập trung đặt để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vật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liệu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giàn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giáo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>tại hiện trường</w:t>
            </w:r>
            <w:r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và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>đặt biển cảnh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báo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.</w:t>
            </w:r>
          </w:p>
          <w:p w:rsidR="00E872A0" w:rsidRPr="00A424E0" w:rsidRDefault="00E872A0" w:rsidP="00437B58">
            <w:pPr>
              <w:widowControl/>
              <w:pBdr>
                <w:bottom w:val="single" w:sz="6" w:space="1" w:color="auto"/>
              </w:pBdr>
              <w:spacing w:line="280" w:lineRule="exact"/>
              <w:rPr>
                <w:rFonts w:eastAsia="新細明體"/>
                <w:vanish/>
                <w:sz w:val="24"/>
                <w:szCs w:val="24"/>
              </w:rPr>
            </w:pPr>
            <w:r w:rsidRPr="00A424E0">
              <w:rPr>
                <w:rFonts w:eastAsia="新細明體"/>
                <w:vanish/>
                <w:sz w:val="24"/>
                <w:szCs w:val="24"/>
              </w:rPr>
              <w:t>Top of Form</w:t>
            </w:r>
          </w:p>
          <w:p w:rsidR="00E872A0" w:rsidRPr="00EA2AB9" w:rsidRDefault="00E872A0" w:rsidP="00437B58">
            <w:pPr>
              <w:spacing w:line="280" w:lineRule="exact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施工架板料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堆放現場，須規劃集中區整齊放置，並以標示牌告示。</w:t>
            </w:r>
          </w:p>
        </w:tc>
        <w:tc>
          <w:tcPr>
            <w:tcW w:w="903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E872A0" w:rsidRPr="00EA2AB9" w:rsidTr="00437B58">
        <w:trPr>
          <w:trHeight w:val="637"/>
        </w:trPr>
        <w:tc>
          <w:tcPr>
            <w:tcW w:w="1029" w:type="dxa"/>
            <w:vMerge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807" w:type="dxa"/>
            <w:vMerge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</w:pP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Vật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 thể rơi từ trên cao </w:t>
            </w:r>
          </w:p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物體飛落</w:t>
            </w:r>
          </w:p>
        </w:tc>
        <w:tc>
          <w:tcPr>
            <w:tcW w:w="4484" w:type="dxa"/>
            <w:shd w:val="clear" w:color="auto" w:fill="auto"/>
          </w:tcPr>
          <w:p w:rsidR="00E872A0" w:rsidRPr="00EA2AB9" w:rsidRDefault="00E872A0" w:rsidP="00437B58">
            <w:pPr>
              <w:spacing w:line="280" w:lineRule="exact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A1.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Tại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cùng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một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đường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chuyền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chỉ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được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phép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một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 kiện vật liệu vận chuyển lên xuống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giữa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các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tầng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."</w:t>
            </w:r>
          </w:p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ind w:left="360" w:hangingChars="150" w:hanging="360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同一動線只允許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一件架料進行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層間上下傳遞。</w:t>
            </w:r>
          </w:p>
          <w:p w:rsidR="00E872A0" w:rsidRPr="00EA2AB9" w:rsidRDefault="00E872A0" w:rsidP="00437B58">
            <w:pPr>
              <w:spacing w:line="280" w:lineRule="exact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A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2.Vật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liệu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giữa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các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tầng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nên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được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chuyển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đơn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lẻ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để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tránh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tình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trạng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 bị rơi xuống do không nắm chặt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"</w:t>
            </w:r>
          </w:p>
          <w:p w:rsidR="00E872A0" w:rsidRPr="00EA2AB9" w:rsidRDefault="00E872A0" w:rsidP="00437B58">
            <w:pPr>
              <w:spacing w:line="280" w:lineRule="exact"/>
              <w:rPr>
                <w:rFonts w:eastAsia="標楷體" w:hint="eastAsia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層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間架料應採取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單件傳遞，以避免發生未握緊滑脫掉落情形。</w:t>
            </w:r>
          </w:p>
        </w:tc>
        <w:tc>
          <w:tcPr>
            <w:tcW w:w="903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E872A0" w:rsidRPr="00EA2AB9" w:rsidTr="00437B58">
        <w:trPr>
          <w:trHeight w:val="420"/>
        </w:trPr>
        <w:tc>
          <w:tcPr>
            <w:tcW w:w="1029" w:type="dxa"/>
            <w:vMerge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807" w:type="dxa"/>
            <w:vMerge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B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>ị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cắt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>/ rạch/ trầy xước</w:t>
            </w:r>
          </w:p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lastRenderedPageBreak/>
              <w:t>被切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/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割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/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擦傷</w:t>
            </w:r>
          </w:p>
        </w:tc>
        <w:tc>
          <w:tcPr>
            <w:tcW w:w="4484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lastRenderedPageBreak/>
              <w:t>A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1.Nhân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lang w:val="vi-VN"/>
              </w:rPr>
              <w:t xml:space="preserve"> viên phải đeo găng tay vải để tránh bị cắt.</w:t>
            </w:r>
          </w:p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</w:rPr>
              <w:t>人員須配戴棉紗手套以避免遭割傷。</w:t>
            </w:r>
          </w:p>
        </w:tc>
        <w:tc>
          <w:tcPr>
            <w:tcW w:w="903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E872A0" w:rsidRPr="00EA2AB9" w:rsidTr="00437B58">
        <w:trPr>
          <w:trHeight w:val="556"/>
        </w:trPr>
        <w:tc>
          <w:tcPr>
            <w:tcW w:w="1029" w:type="dxa"/>
            <w:vMerge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5807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ind w:left="240" w:hangingChars="100" w:hanging="240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  <w:lang w:val="vi-VN"/>
              </w:rPr>
            </w:pPr>
            <w:proofErr w:type="spellStart"/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B.chuyển</w:t>
            </w:r>
            <w:proofErr w:type="spellEnd"/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  <w:lang w:val="vi-VN"/>
              </w:rPr>
              <w:t xml:space="preserve"> vật liệu đến địa điểm lắp ráp giàn giáo từ tầng 5 trở lên (cẩu vật liệu)</w:t>
            </w:r>
          </w:p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將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架料搬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至第五層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(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含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)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以上搭架地點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(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架料吊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運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  <w:lang w:val="vi-VN"/>
              </w:rPr>
            </w:pPr>
            <w:proofErr w:type="spell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Va</w:t>
            </w:r>
            <w:proofErr w:type="spell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  <w:lang w:val="vi-VN"/>
              </w:rPr>
              <w:t xml:space="preserve"> đập</w:t>
            </w:r>
          </w:p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衝撞</w:t>
            </w:r>
          </w:p>
        </w:tc>
        <w:tc>
          <w:tcPr>
            <w:tcW w:w="4484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  <w:lang w:val="vi-VN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A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1.nhân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  <w:lang w:val="vi-VN"/>
              </w:rPr>
              <w:t xml:space="preserve"> viên vận hành cẩu cần có chứng chỉ </w:t>
            </w:r>
            <w:r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  <w:lang w:val="vi-VN"/>
              </w:rPr>
              <w:t>hợp lệ.</w:t>
            </w:r>
          </w:p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吊車操作人員須有合格證照。</w:t>
            </w:r>
          </w:p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  <w:lang w:val="vi-VN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B1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  <w:lang w:val="vi-VN"/>
              </w:rPr>
              <w:t xml:space="preserve">. Khi tốc độ gió vượt quá 10 m/s, không được tiến hành tác nghiệp cẩu. Ngoài ra, việc treo vật liệu cần sử dụng dây </w:t>
            </w:r>
            <w:r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  <w:lang w:val="vi-VN"/>
              </w:rPr>
              <w:t xml:space="preserve">điều 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  <w:lang w:val="vi-VN"/>
              </w:rPr>
              <w:t>hướ</w:t>
            </w:r>
            <w:r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  <w:lang w:val="vi-VN"/>
              </w:rPr>
              <w:t xml:space="preserve">ng nhằm 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  <w:lang w:val="vi-VN"/>
              </w:rPr>
              <w:t>tránh va chạm với thiết bị trong quá trình cẩu</w:t>
            </w:r>
            <w:r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  <w:lang w:val="vi-VN"/>
              </w:rPr>
              <w:t xml:space="preserve"> 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  <w:lang w:val="vi-VN"/>
              </w:rPr>
              <w:t xml:space="preserve">và </w:t>
            </w:r>
            <w:r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  <w:lang w:val="vi-VN"/>
              </w:rPr>
              <w:t xml:space="preserve">nghiêm cấm 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  <w:lang w:val="vi-VN"/>
              </w:rPr>
              <w:t xml:space="preserve">người </w:t>
            </w:r>
            <w:r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  <w:lang w:val="vi-VN"/>
              </w:rPr>
              <w:t xml:space="preserve">không được ở phía 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  <w:lang w:val="vi-VN"/>
              </w:rPr>
              <w:t xml:space="preserve"> dưới vật </w:t>
            </w:r>
            <w:r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  <w:lang w:val="vi-VN"/>
              </w:rPr>
              <w:t xml:space="preserve">đang 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  <w:lang w:val="vi-VN"/>
              </w:rPr>
              <w:t>nâng.</w:t>
            </w:r>
          </w:p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風速大於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10M/S</w:t>
            </w: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不可進行吊掛作業，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另架料吊掛應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以牽引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繩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控制方向，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以免吊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運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過程中碰觸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設備，且操作中人員不可曝露於</w:t>
            </w:r>
            <w:proofErr w:type="gramStart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吊掛物正</w:t>
            </w:r>
            <w:proofErr w:type="gramEnd"/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下方。</w:t>
            </w:r>
          </w:p>
        </w:tc>
        <w:tc>
          <w:tcPr>
            <w:tcW w:w="903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8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</w:pPr>
          </w:p>
        </w:tc>
      </w:tr>
      <w:tr w:rsidR="00E872A0" w:rsidRPr="00EA2AB9" w:rsidTr="00437B58">
        <w:trPr>
          <w:trHeight w:val="303"/>
        </w:trPr>
        <w:tc>
          <w:tcPr>
            <w:tcW w:w="1029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2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2.</w:t>
            </w:r>
          </w:p>
        </w:tc>
        <w:tc>
          <w:tcPr>
            <w:tcW w:w="5807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2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2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-</w:t>
            </w:r>
          </w:p>
        </w:tc>
        <w:tc>
          <w:tcPr>
            <w:tcW w:w="4484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2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</w:pPr>
            <w:r w:rsidRPr="00EA2AB9"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  <w:t>-</w:t>
            </w:r>
          </w:p>
          <w:p w:rsidR="00E872A0" w:rsidRPr="00EA2AB9" w:rsidRDefault="00E872A0" w:rsidP="00437B58">
            <w:pPr>
              <w:tabs>
                <w:tab w:val="left" w:pos="4981"/>
              </w:tabs>
              <w:spacing w:line="220" w:lineRule="exact"/>
              <w:rPr>
                <w:rFonts w:eastAsia="標楷體"/>
                <w:b/>
                <w:sz w:val="24"/>
                <w:szCs w:val="24"/>
                <w:u w:val="single"/>
              </w:rPr>
            </w:pPr>
            <w:r w:rsidRPr="00EA2AB9">
              <w:rPr>
                <w:rFonts w:eastAsia="標楷體"/>
                <w:b/>
                <w:sz w:val="24"/>
                <w:szCs w:val="24"/>
                <w:u w:val="single"/>
              </w:rPr>
              <w:tab/>
            </w:r>
          </w:p>
        </w:tc>
        <w:tc>
          <w:tcPr>
            <w:tcW w:w="903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2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shd w:val="clear" w:color="auto" w:fill="auto"/>
          </w:tcPr>
          <w:p w:rsidR="00E872A0" w:rsidRPr="00EA2AB9" w:rsidRDefault="00E872A0" w:rsidP="00437B58">
            <w:pPr>
              <w:autoSpaceDE w:val="0"/>
              <w:autoSpaceDN w:val="0"/>
              <w:spacing w:line="220" w:lineRule="exact"/>
              <w:outlineLvl w:val="1"/>
              <w:rPr>
                <w:rFonts w:eastAsia="標楷體"/>
                <w:b/>
                <w:bCs/>
                <w:color w:val="FF0000"/>
                <w:sz w:val="24"/>
                <w:szCs w:val="24"/>
                <w:u w:val="single"/>
              </w:rPr>
            </w:pPr>
          </w:p>
        </w:tc>
      </w:tr>
    </w:tbl>
    <w:p w:rsidR="00284ECD" w:rsidRDefault="00E872A0"/>
    <w:sectPr w:rsidR="00284ECD" w:rsidSect="0036159B">
      <w:pgSz w:w="16838" w:h="11906" w:orient="landscape" w:code="9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59B"/>
    <w:rsid w:val="0036159B"/>
    <w:rsid w:val="008055E0"/>
    <w:rsid w:val="00E872A0"/>
    <w:rsid w:val="00F9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BF4B07-8240-4DDD-A055-BAFC42A4D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159B"/>
    <w:pPr>
      <w:widowControl w:val="0"/>
    </w:pPr>
    <w:rPr>
      <w:rFonts w:ascii="Times New Roman" w:eastAsia="全真楷書" w:hAnsi="Times New Roman" w:cs="Times New Roman"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718AC-7CCE-4E89-A204-990D58256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00RX60/許家豪</dc:creator>
  <cp:keywords/>
  <dc:description/>
  <cp:lastModifiedBy>00RX60/許家豪</cp:lastModifiedBy>
  <cp:revision>2</cp:revision>
  <dcterms:created xsi:type="dcterms:W3CDTF">2023-11-21T09:07:00Z</dcterms:created>
  <dcterms:modified xsi:type="dcterms:W3CDTF">2023-11-21T09:07:00Z</dcterms:modified>
</cp:coreProperties>
</file>