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59B" w:rsidRPr="00944F48" w:rsidRDefault="0036159B" w:rsidP="0036159B">
      <w:pPr>
        <w:autoSpaceDE w:val="0"/>
        <w:autoSpaceDN w:val="0"/>
        <w:spacing w:afterLines="25" w:after="90" w:line="440" w:lineRule="exact"/>
        <w:ind w:left="901" w:hangingChars="250" w:hanging="901"/>
        <w:jc w:val="center"/>
        <w:outlineLvl w:val="1"/>
        <w:rPr>
          <w:rFonts w:ascii="標楷體" w:eastAsia="標楷體" w:hAnsi="標楷體"/>
          <w:b/>
          <w:bCs/>
          <w:color w:val="FF0000"/>
          <w:sz w:val="32"/>
          <w:szCs w:val="32"/>
          <w:u w:val="single"/>
        </w:rPr>
      </w:pPr>
      <w:bookmarkStart w:id="0" w:name="_GoBack"/>
      <w:r w:rsidRPr="00944F48">
        <w:rPr>
          <w:rFonts w:ascii="標楷體" w:eastAsia="標楷體" w:hAnsi="標楷體" w:hint="eastAsia"/>
          <w:b/>
          <w:bCs/>
          <w:color w:val="FF0000"/>
          <w:sz w:val="36"/>
          <w:szCs w:val="32"/>
          <w:u w:val="single"/>
        </w:rPr>
        <w:t>工作安全檢查表(範例)</w:t>
      </w:r>
    </w:p>
    <w:tbl>
      <w:tblPr>
        <w:tblW w:w="151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73"/>
        <w:gridCol w:w="1417"/>
        <w:gridCol w:w="6067"/>
        <w:gridCol w:w="1299"/>
        <w:gridCol w:w="1985"/>
      </w:tblGrid>
      <w:tr w:rsidR="0036159B" w:rsidRPr="00944F48" w:rsidTr="0036159B">
        <w:trPr>
          <w:trHeight w:val="545"/>
        </w:trPr>
        <w:tc>
          <w:tcPr>
            <w:tcW w:w="15158" w:type="dxa"/>
            <w:gridSpan w:val="6"/>
            <w:shd w:val="clear" w:color="auto" w:fill="auto"/>
          </w:tcPr>
          <w:bookmarkEnd w:id="0"/>
          <w:p w:rsidR="0036159B" w:rsidRPr="00944F48" w:rsidRDefault="0036159B" w:rsidP="00437B58">
            <w:pPr>
              <w:autoSpaceDE w:val="0"/>
              <w:autoSpaceDN w:val="0"/>
              <w:spacing w:line="440" w:lineRule="exact"/>
              <w:ind w:left="701" w:hangingChars="250" w:hanging="701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承攬公司：○○○○                     作業名稱：○○○○○○○○        日期：○○○○○○○○</w:t>
            </w:r>
          </w:p>
        </w:tc>
      </w:tr>
      <w:tr w:rsidR="0036159B" w:rsidRPr="00944F48" w:rsidTr="0036159B">
        <w:trPr>
          <w:trHeight w:val="416"/>
        </w:trPr>
        <w:tc>
          <w:tcPr>
            <w:tcW w:w="4390" w:type="dxa"/>
            <w:gridSpan w:val="2"/>
            <w:vMerge w:val="restart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作業流程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危害型態</w:t>
            </w:r>
          </w:p>
        </w:tc>
        <w:tc>
          <w:tcPr>
            <w:tcW w:w="6067" w:type="dxa"/>
            <w:vMerge w:val="restart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檢查項目</w:t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確認動作</w:t>
            </w:r>
          </w:p>
        </w:tc>
      </w:tr>
      <w:tr w:rsidR="0036159B" w:rsidRPr="00944F48" w:rsidTr="0036159B">
        <w:trPr>
          <w:trHeight w:val="443"/>
        </w:trPr>
        <w:tc>
          <w:tcPr>
            <w:tcW w:w="4390" w:type="dxa"/>
            <w:gridSpan w:val="2"/>
            <w:vMerge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6067" w:type="dxa"/>
            <w:vMerge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Y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  <w:t>/N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59B" w:rsidRPr="00944F48" w:rsidRDefault="0036159B" w:rsidP="00437B58">
            <w:pPr>
              <w:autoSpaceDE w:val="0"/>
              <w:autoSpaceDN w:val="0"/>
              <w:spacing w:line="400" w:lineRule="exact"/>
              <w:ind w:left="701" w:hangingChars="250" w:hanging="701"/>
              <w:jc w:val="center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簽認</w:t>
            </w:r>
          </w:p>
        </w:tc>
      </w:tr>
      <w:tr w:rsidR="0036159B" w:rsidRPr="00944F48" w:rsidTr="0036159B">
        <w:trPr>
          <w:trHeight w:val="889"/>
        </w:trPr>
        <w:tc>
          <w:tcPr>
            <w:tcW w:w="817" w:type="dxa"/>
            <w:vMerge w:val="restart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1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.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 w:val="2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系統式施工架搭架作業(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架料傳遞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及吊運)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 w:val="20"/>
                <w:u w:val="single"/>
              </w:rPr>
            </w:pPr>
          </w:p>
        </w:tc>
        <w:tc>
          <w:tcPr>
            <w:tcW w:w="3573" w:type="dxa"/>
            <w:vMerge w:val="restart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28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A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至第四層(含)以下搭架地點(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架料傳遞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)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Chars="50" w:left="42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第一層搭架:人員直接將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至施工地點組裝。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Chars="50" w:left="42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2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第二層搭架:地面上人員將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架料傳給第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二層人員進行第二層搭架。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Chars="50" w:left="42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3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第三層搭架:地面上人員將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架料傳給第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二層人員再接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駁給第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三層人員進行第三層搭架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Chars="150" w:left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Chars="50" w:left="42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4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.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第四層搭架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: 地面人員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將架料依序逐層傳給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第二、三、四層人員再由第四層人員進行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第四層搭架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墜落/滾落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A1.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搭架人員使用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捲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揚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式防墜器，需勾掛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於降落傘式安全帶背部D扣環上，緩衝包與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捲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揚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式防墜器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兩者不可串接使用。</w:t>
            </w: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  <w:tr w:rsidR="0036159B" w:rsidRPr="00944F48" w:rsidTr="0036159B">
        <w:trPr>
          <w:trHeight w:val="841"/>
        </w:trPr>
        <w:tc>
          <w:tcPr>
            <w:tcW w:w="817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跌倒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A1.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施工架板料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堆放現場，須規劃集中區整齊放置，並以標示牌告示。</w:t>
            </w: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  <w:tr w:rsidR="0036159B" w:rsidRPr="00944F48" w:rsidTr="0036159B">
        <w:trPr>
          <w:trHeight w:val="556"/>
        </w:trPr>
        <w:tc>
          <w:tcPr>
            <w:tcW w:w="817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物體飛落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A1.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同一動線只允許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一件架料進行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層間上下傳遞。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A2.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層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間架料應採取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單件傳遞，以避免發生未握緊滑脫掉落情形。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  <w:tr w:rsidR="0036159B" w:rsidRPr="00944F48" w:rsidTr="0036159B">
        <w:trPr>
          <w:trHeight w:val="420"/>
        </w:trPr>
        <w:tc>
          <w:tcPr>
            <w:tcW w:w="817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被切/割/擦傷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A1.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人員須配戴棉紗手套以避免遭割傷。</w:t>
            </w: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  <w:tr w:rsidR="0036159B" w:rsidRPr="00944F48" w:rsidTr="0036159B">
        <w:trPr>
          <w:trHeight w:val="556"/>
        </w:trPr>
        <w:tc>
          <w:tcPr>
            <w:tcW w:w="817" w:type="dxa"/>
            <w:vMerge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</w:p>
        </w:tc>
        <w:tc>
          <w:tcPr>
            <w:tcW w:w="3573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280" w:hangingChars="100" w:hanging="28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B.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將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架料搬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至第五層(含)以上搭架地點(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架料吊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運)</w:t>
            </w: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衝撞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A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吊車操作人員須有合格證照。</w:t>
            </w:r>
          </w:p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ind w:left="420" w:hangingChars="150" w:hanging="420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B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1.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風速大於1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u w:val="single"/>
              </w:rPr>
              <w:t>0M/S</w:t>
            </w: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不可進行吊掛作業，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另架料吊掛應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以牽引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繩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控制方向，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以免吊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運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過程中碰觸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設備，且操作中人員不可曝露於</w:t>
            </w:r>
            <w:proofErr w:type="gramStart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吊掛物正</w:t>
            </w:r>
            <w:proofErr w:type="gramEnd"/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下方。</w:t>
            </w: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  <w:tr w:rsidR="0036159B" w:rsidRPr="00944F48" w:rsidTr="0036159B">
        <w:trPr>
          <w:trHeight w:val="303"/>
        </w:trPr>
        <w:tc>
          <w:tcPr>
            <w:tcW w:w="8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szCs w:val="28"/>
                <w:u w:val="single"/>
              </w:rPr>
              <w:t>2</w:t>
            </w:r>
            <w:r w:rsidRPr="00944F48">
              <w:rPr>
                <w:rFonts w:ascii="標楷體" w:eastAsia="標楷體" w:hAnsi="標楷體"/>
                <w:b/>
                <w:bCs/>
                <w:color w:val="FF0000"/>
                <w:szCs w:val="28"/>
                <w:u w:val="single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-</w:t>
            </w:r>
          </w:p>
        </w:tc>
        <w:tc>
          <w:tcPr>
            <w:tcW w:w="6067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  <w:r w:rsidRPr="00944F48">
              <w:rPr>
                <w:rFonts w:ascii="標楷體" w:eastAsia="標楷體" w:hAnsi="標楷體" w:hint="eastAsia"/>
                <w:b/>
                <w:bCs/>
                <w:color w:val="FF0000"/>
                <w:u w:val="single"/>
              </w:rPr>
              <w:t>-</w:t>
            </w:r>
          </w:p>
          <w:p w:rsidR="0036159B" w:rsidRPr="00944F48" w:rsidRDefault="0036159B" w:rsidP="00437B58">
            <w:pPr>
              <w:tabs>
                <w:tab w:val="left" w:pos="4981"/>
              </w:tabs>
              <w:rPr>
                <w:rFonts w:ascii="標楷體" w:eastAsia="標楷體" w:hAnsi="標楷體"/>
                <w:b/>
                <w:u w:val="single"/>
              </w:rPr>
            </w:pPr>
            <w:r w:rsidRPr="00944F48">
              <w:rPr>
                <w:rFonts w:ascii="標楷體" w:eastAsia="標楷體" w:hAnsi="標楷體"/>
                <w:b/>
                <w:u w:val="single"/>
              </w:rPr>
              <w:tab/>
            </w:r>
          </w:p>
        </w:tc>
        <w:tc>
          <w:tcPr>
            <w:tcW w:w="1299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36159B" w:rsidRPr="00944F48" w:rsidRDefault="0036159B" w:rsidP="00437B58">
            <w:pPr>
              <w:autoSpaceDE w:val="0"/>
              <w:autoSpaceDN w:val="0"/>
              <w:spacing w:line="280" w:lineRule="exact"/>
              <w:outlineLvl w:val="1"/>
              <w:rPr>
                <w:rFonts w:ascii="標楷體" w:eastAsia="標楷體" w:hAnsi="標楷體"/>
                <w:b/>
                <w:bCs/>
                <w:color w:val="FF0000"/>
                <w:u w:val="single"/>
              </w:rPr>
            </w:pPr>
          </w:p>
        </w:tc>
      </w:tr>
    </w:tbl>
    <w:p w:rsidR="00284ECD" w:rsidRDefault="0036159B"/>
    <w:sectPr w:rsidR="00284ECD" w:rsidSect="0036159B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9B"/>
    <w:rsid w:val="0036159B"/>
    <w:rsid w:val="008055E0"/>
    <w:rsid w:val="00F9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F4B07-8240-4DDD-A055-BAFC42A4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59B"/>
    <w:pPr>
      <w:widowControl w:val="0"/>
    </w:pPr>
    <w:rPr>
      <w:rFonts w:ascii="Times New Roman" w:eastAsia="全真楷書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3A588-37F8-4104-83AC-9D3D33EB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00RX60/許家豪</dc:creator>
  <cp:keywords/>
  <dc:description/>
  <cp:lastModifiedBy>00RX60/許家豪</cp:lastModifiedBy>
  <cp:revision>1</cp:revision>
  <dcterms:created xsi:type="dcterms:W3CDTF">2023-11-21T09:02:00Z</dcterms:created>
  <dcterms:modified xsi:type="dcterms:W3CDTF">2023-11-21T09:06:00Z</dcterms:modified>
</cp:coreProperties>
</file>